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№ 2-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  <w:r>
        <w:rPr>
          <w:rFonts w:ascii="Times New Roman" w:eastAsia="Times New Roman" w:hAnsi="Times New Roman" w:cs="Times New Roman"/>
          <w:sz w:val="28"/>
          <w:szCs w:val="28"/>
        </w:rPr>
        <w:t>-26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марта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ассмотрев в порядке упрощенного производства гражданское дело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Отделения фонда пенсионного и социального страхования Российской Федерации по Ханты-Мансийскому автономному округу - 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Парчину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Сергею Васильевичу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суммы </w:t>
      </w:r>
      <w:r>
        <w:rPr>
          <w:rFonts w:ascii="Times New Roman" w:eastAsia="Times New Roman" w:hAnsi="Times New Roman" w:cs="Times New Roman"/>
          <w:sz w:val="28"/>
          <w:szCs w:val="28"/>
        </w:rPr>
        <w:t>неосновательного обогащения.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округу - Югре к </w:t>
      </w:r>
      <w:r>
        <w:rPr>
          <w:rFonts w:ascii="Times New Roman" w:eastAsia="Times New Roman" w:hAnsi="Times New Roman" w:cs="Times New Roman"/>
          <w:sz w:val="28"/>
          <w:szCs w:val="28"/>
        </w:rPr>
        <w:t>Парчину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Сергею Васильевичу о взыскании суммы неосновательного обогащения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Парчина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Васильевича, </w:t>
      </w:r>
      <w:r>
        <w:rPr>
          <w:rStyle w:val="cat-UserDefinedgrp-2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Отделения фонда пенсионного и социального страхования Российской Федерации по Ханты-Мансийскому автономному округу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860209988304, ОГРН 1028600517054, сумму неосновательного обогащения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144 (четыре тысячи сто сорок четыре) рубля 80 копеек,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Парчина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Васильевича, </w:t>
      </w:r>
      <w:r>
        <w:rPr>
          <w:rStyle w:val="cat-UserDefinedgrp-22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доход местного бюджета государственную пошлину в размере 4 000 (четыре тысячи) рублей 00 копеек.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десяти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марта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</w:rPr>
        <w:t>373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13">
    <w:name w:val="cat-UserDefined grp-22 rplc-13"/>
    <w:basedOn w:val="DefaultParagraphFont"/>
  </w:style>
  <w:style w:type="character" w:customStyle="1" w:styleId="cat-UserDefinedgrp-22rplc-26">
    <w:name w:val="cat-UserDefined grp-22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